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60" w:rsidRDefault="00047C60" w:rsidP="00047C60">
      <w:pPr>
        <w:spacing w:after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  <w:shd w:val="clear" w:color="auto" w:fill="FFFFFF"/>
        </w:rPr>
        <w:t>Dear Supplier,</w:t>
      </w:r>
    </w:p>
    <w:p w:rsidR="00047C60" w:rsidRDefault="00047C60" w:rsidP="00047C60">
      <w:pPr>
        <w:shd w:val="clear" w:color="auto" w:fill="FFFFFF"/>
        <w:spacing w:after="324" w:line="312" w:lineRule="atLeast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With reference to International Competitive Bidding /EOI Ref No.: FOCUS/EOI/2016/01 for supply of goods and services for our Oil and Gas Exploration &amp; Development project (Petroleum Operation) at Block RJ-ON/6, GK-ON/4 and CB-OSN-2004/1 in India, Focus Energy Limited invite you to participate in the Tender for supply of Hydrocarbon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Dewpoint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 xml:space="preserve"> Depression Unit to remove heavy hydrocarbons from our natural gas. The hydrocarbon dew point which we want to achieve is -15 C.  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as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per description and details avai</w:t>
      </w:r>
      <w:r>
        <w:rPr>
          <w:rFonts w:ascii="Times New Roman" w:hAnsi="Times New Roman"/>
          <w:color w:val="1F497D"/>
          <w:sz w:val="28"/>
          <w:szCs w:val="28"/>
        </w:rPr>
        <w:t xml:space="preserve">lable on our website (Reference </w:t>
      </w:r>
      <w:r>
        <w:rPr>
          <w:rFonts w:ascii="Times New Roman" w:hAnsi="Times New Roman"/>
          <w:color w:val="1F497D"/>
          <w:sz w:val="28"/>
          <w:szCs w:val="28"/>
        </w:rPr>
        <w:t>No. 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F</w:t>
      </w:r>
      <w:r>
        <w:rPr>
          <w:rFonts w:ascii="Times New Roman" w:hAnsi="Times New Roman"/>
          <w:color w:val="1F497D"/>
          <w:sz w:val="28"/>
          <w:szCs w:val="28"/>
        </w:rPr>
        <w:t>OCUS/RAJ&amp;GUJ/HDD/2016-2017/02).</w:t>
      </w:r>
      <w:r>
        <w:rPr>
          <w:rFonts w:ascii="Times New Roman" w:hAnsi="Times New Roman"/>
          <w:color w:val="1F497D"/>
          <w:sz w:val="28"/>
          <w:szCs w:val="28"/>
        </w:rPr>
        <w:t>Tender Document also available for download.</w:t>
      </w:r>
      <w:proofErr w:type="gramEnd"/>
    </w:p>
    <w:p w:rsidR="00047C60" w:rsidRDefault="00047C60" w:rsidP="00047C60">
      <w:pPr>
        <w:shd w:val="clear" w:color="auto" w:fill="FFFFFF"/>
        <w:spacing w:after="324" w:line="312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Please go through our website and submit your bid online after registration for Rajasthan.</w:t>
      </w:r>
    </w:p>
    <w:p w:rsidR="00047C60" w:rsidRDefault="00047C60" w:rsidP="00047C60">
      <w:pPr>
        <w:shd w:val="clear" w:color="auto" w:fill="FFFFFF"/>
        <w:spacing w:after="324" w:line="312" w:lineRule="atLeast"/>
        <w:jc w:val="both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Details are as under:</w:t>
      </w:r>
    </w:p>
    <w:p w:rsidR="00047C60" w:rsidRDefault="00047C60" w:rsidP="00047C60">
      <w:pPr>
        <w:shd w:val="clear" w:color="auto" w:fill="FFFFFF"/>
        <w:spacing w:line="32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Natural Gas Pressure - 700-900 psig</w:t>
      </w:r>
    </w:p>
    <w:p w:rsidR="00047C60" w:rsidRDefault="00047C60" w:rsidP="00047C60">
      <w:pPr>
        <w:shd w:val="clear" w:color="auto" w:fill="FFFFFF"/>
        <w:spacing w:line="32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Natural Gas Temperature - 45-50C</w:t>
      </w:r>
    </w:p>
    <w:p w:rsidR="00047C60" w:rsidRDefault="00047C60" w:rsidP="00047C60">
      <w:pPr>
        <w:shd w:val="clear" w:color="auto" w:fill="FFFFFF"/>
        <w:spacing w:line="32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Moisture Content in Natural Gas - 7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lbs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mmscf</w:t>
      </w:r>
      <w:proofErr w:type="spellEnd"/>
    </w:p>
    <w:p w:rsidR="00047C60" w:rsidRDefault="00047C60" w:rsidP="00047C60">
      <w:pPr>
        <w:shd w:val="clear" w:color="auto" w:fill="FFFFFF"/>
        <w:spacing w:line="32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Natural Gas Flow </w:t>
      </w:r>
      <w:proofErr w:type="gramStart"/>
      <w:r>
        <w:rPr>
          <w:rFonts w:ascii="Times New Roman" w:hAnsi="Times New Roman"/>
          <w:color w:val="1F497D"/>
          <w:sz w:val="28"/>
          <w:szCs w:val="28"/>
        </w:rPr>
        <w:t>rate  50</w:t>
      </w:r>
      <w:proofErr w:type="gramEnd"/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mmscfd</w:t>
      </w:r>
      <w:proofErr w:type="spellEnd"/>
    </w:p>
    <w:p w:rsidR="00047C60" w:rsidRDefault="00047C60" w:rsidP="00047C60">
      <w:pPr>
        <w:shd w:val="clear" w:color="auto" w:fill="FFFFFF"/>
        <w:spacing w:line="256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Final product -  NGL</w:t>
      </w:r>
      <w:r>
        <w:rPr>
          <w:rFonts w:ascii="Times New Roman" w:hAnsi="Times New Roman"/>
          <w:color w:val="1F497D"/>
          <w:sz w:val="28"/>
          <w:szCs w:val="28"/>
        </w:rPr>
        <w:br/>
        <w:t xml:space="preserve">All PLC , instrument should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included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>,  provide RS485  port for PLC connecti</w:t>
      </w:r>
      <w:r>
        <w:rPr>
          <w:rFonts w:ascii="Times New Roman" w:hAnsi="Times New Roman"/>
          <w:color w:val="1F497D"/>
          <w:sz w:val="28"/>
          <w:szCs w:val="28"/>
        </w:rPr>
        <w:t xml:space="preserve">on </w:t>
      </w:r>
      <w:r>
        <w:rPr>
          <w:rFonts w:ascii="Times New Roman" w:hAnsi="Times New Roman"/>
          <w:color w:val="1F497D"/>
          <w:sz w:val="28"/>
          <w:szCs w:val="28"/>
        </w:rPr>
        <w:t>and data transfer to our control room </w:t>
      </w:r>
      <w:r>
        <w:rPr>
          <w:rFonts w:ascii="Times New Roman" w:hAnsi="Times New Roman"/>
          <w:color w:val="1F497D"/>
          <w:sz w:val="28"/>
          <w:szCs w:val="28"/>
        </w:rPr>
        <w:br/>
        <w:t>All equipment skid mounted and inclusive of the piping</w:t>
      </w:r>
      <w:r>
        <w:rPr>
          <w:rFonts w:ascii="Times New Roman" w:hAnsi="Times New Roman"/>
          <w:color w:val="1F497D"/>
          <w:sz w:val="28"/>
          <w:szCs w:val="28"/>
        </w:rPr>
        <w:br/>
        <w:t>Electrical - 415V 50hz</w:t>
      </w:r>
      <w:r>
        <w:rPr>
          <w:rFonts w:ascii="Times New Roman" w:hAnsi="Times New Roman"/>
          <w:color w:val="1F497D"/>
          <w:sz w:val="28"/>
          <w:szCs w:val="28"/>
        </w:rPr>
        <w:br/>
        <w:t xml:space="preserve">All </w:t>
      </w:r>
      <w:r>
        <w:rPr>
          <w:rFonts w:ascii="Times New Roman" w:hAnsi="Times New Roman"/>
          <w:color w:val="1F497D"/>
          <w:sz w:val="28"/>
          <w:szCs w:val="28"/>
        </w:rPr>
        <w:t>equipment</w:t>
      </w:r>
      <w:bookmarkStart w:id="0" w:name="_GoBack"/>
      <w:bookmarkEnd w:id="0"/>
      <w:r>
        <w:rPr>
          <w:rFonts w:ascii="Times New Roman" w:hAnsi="Times New Roman"/>
          <w:color w:val="1F497D"/>
          <w:sz w:val="28"/>
          <w:szCs w:val="28"/>
        </w:rPr>
        <w:t xml:space="preserve"> as per ASME </w:t>
      </w:r>
    </w:p>
    <w:p w:rsidR="00047C60" w:rsidRDefault="00047C60" w:rsidP="00047C60">
      <w:pPr>
        <w:shd w:val="clear" w:color="auto" w:fill="FFFFFF"/>
        <w:spacing w:line="32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Composition of Natural Gas:</w:t>
      </w:r>
    </w:p>
    <w:p w:rsidR="00047C60" w:rsidRDefault="00047C60" w:rsidP="00047C60">
      <w:pPr>
        <w:spacing w:after="280" w:line="320" w:lineRule="atLeast"/>
        <w:rPr>
          <w:rFonts w:ascii="Times New Roman" w:hAnsi="Times New Roman"/>
          <w:color w:val="1F497D"/>
          <w:sz w:val="28"/>
          <w:szCs w:val="28"/>
        </w:rPr>
      </w:pPr>
    </w:p>
    <w:tbl>
      <w:tblPr>
        <w:tblW w:w="7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2055"/>
      </w:tblGrid>
      <w:tr w:rsidR="00047C60" w:rsidTr="00047C60">
        <w:trPr>
          <w:trHeight w:val="310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Methane     CH4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84.49103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Ethane         C2H6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4.88436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Propane      C3H8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1.09544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I-Butane     i-C4H10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0.22872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n-Butane    n-C4H10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0.21044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lastRenderedPageBreak/>
              <w:t>I-pentane   i-C5H12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0.10691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n-pentane  n-C5H12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0.06214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n-Hexane   n-C6H14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0.29174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Neo Pentane NC5H12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0.000241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Ceptane</w:t>
            </w:r>
            <w:proofErr w:type="spellEnd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      C8H18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0.00000</w:t>
            </w:r>
          </w:p>
        </w:tc>
      </w:tr>
      <w:tr w:rsidR="00047C60" w:rsidTr="00047C60">
        <w:trPr>
          <w:trHeight w:val="3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Nonane</w:t>
            </w:r>
            <w:proofErr w:type="spellEnd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       C10H20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0.00000</w:t>
            </w:r>
          </w:p>
        </w:tc>
      </w:tr>
      <w:tr w:rsidR="00047C60" w:rsidTr="00047C60">
        <w:trPr>
          <w:trHeight w:val="326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Helium  He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0.00000</w:t>
            </w:r>
          </w:p>
        </w:tc>
      </w:tr>
      <w:tr w:rsidR="00047C60" w:rsidTr="00047C60">
        <w:trPr>
          <w:trHeight w:val="326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Oxygen  O2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-</w:t>
            </w:r>
          </w:p>
        </w:tc>
      </w:tr>
      <w:tr w:rsidR="00047C60" w:rsidTr="00047C60">
        <w:trPr>
          <w:trHeight w:val="326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Carbon dioxide  CO2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2.26746</w:t>
            </w:r>
          </w:p>
        </w:tc>
      </w:tr>
      <w:tr w:rsidR="00047C60" w:rsidTr="00047C60">
        <w:trPr>
          <w:trHeight w:val="326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Nitrogen  N2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C60" w:rsidRDefault="00047C60">
            <w:pPr>
              <w:spacing w:after="324" w:line="320" w:lineRule="atLeast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6.36151</w:t>
            </w:r>
          </w:p>
        </w:tc>
      </w:tr>
    </w:tbl>
    <w:p w:rsidR="00047C60" w:rsidRDefault="00047C60" w:rsidP="00047C60">
      <w:pPr>
        <w:shd w:val="clear" w:color="auto" w:fill="FFFFFF"/>
        <w:spacing w:after="324" w:line="312" w:lineRule="atLeast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047C60" w:rsidRDefault="00047C60" w:rsidP="00047C60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color w:val="444444"/>
          <w:sz w:val="28"/>
          <w:szCs w:val="28"/>
        </w:rPr>
      </w:pPr>
      <w:r>
        <w:rPr>
          <w:color w:val="1F497D"/>
          <w:sz w:val="28"/>
          <w:szCs w:val="28"/>
        </w:rPr>
        <w:t xml:space="preserve">Please send your acknowledgement for the receipt of Tender and you are required to submit your response to the Tender No. </w:t>
      </w:r>
      <w:proofErr w:type="gramStart"/>
      <w:r>
        <w:rPr>
          <w:color w:val="1F497D"/>
          <w:sz w:val="28"/>
          <w:szCs w:val="28"/>
        </w:rPr>
        <w:t>FOCUS/RAJ&amp;GUJ/HDD/2016-17/02</w:t>
      </w:r>
      <w:r>
        <w:rPr>
          <w:rStyle w:val="apple-converted-space"/>
          <w:color w:val="1F497D"/>
          <w:sz w:val="28"/>
          <w:szCs w:val="28"/>
        </w:rPr>
        <w:t> </w:t>
      </w:r>
      <w:r>
        <w:rPr>
          <w:b/>
          <w:bCs/>
          <w:color w:val="1F497D"/>
          <w:sz w:val="28"/>
          <w:szCs w:val="28"/>
        </w:rPr>
        <w:t>no later than 4:00 p.m. 1ST on April 20Th, 2016</w:t>
      </w:r>
      <w:r>
        <w:rPr>
          <w:color w:val="1F497D"/>
          <w:sz w:val="28"/>
          <w:szCs w:val="28"/>
        </w:rPr>
        <w:t>.</w:t>
      </w:r>
      <w:proofErr w:type="gramEnd"/>
      <w:r>
        <w:rPr>
          <w:color w:val="1F497D"/>
          <w:sz w:val="28"/>
          <w:szCs w:val="28"/>
        </w:rPr>
        <w:t xml:space="preserve"> Any questions arising </w:t>
      </w:r>
      <w:r>
        <w:rPr>
          <w:color w:val="1F497D"/>
          <w:sz w:val="28"/>
          <w:szCs w:val="28"/>
        </w:rPr>
        <w:t>from the attached Tender please direct them to us via e-mail.</w:t>
      </w:r>
    </w:p>
    <w:p w:rsidR="00047C60" w:rsidRDefault="00047C60" w:rsidP="00047C60">
      <w:pPr>
        <w:jc w:val="both"/>
        <w:rPr>
          <w:b/>
          <w:bCs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Kindly Note:</w:t>
      </w:r>
      <w:r>
        <w:rPr>
          <w:rStyle w:val="apple-converted-space"/>
          <w:color w:val="1F497D"/>
          <w:sz w:val="28"/>
          <w:szCs w:val="28"/>
        </w:rPr>
        <w:t> </w:t>
      </w:r>
      <w:r>
        <w:rPr>
          <w:b/>
          <w:bCs/>
          <w:color w:val="1F497D"/>
          <w:sz w:val="28"/>
          <w:szCs w:val="28"/>
        </w:rPr>
        <w:t>“Domestic suppliers will qualify for Deemed Export Benefits under Para 7.02(f</w:t>
      </w:r>
      <w:proofErr w:type="gramStart"/>
      <w:r>
        <w:rPr>
          <w:b/>
          <w:bCs/>
          <w:color w:val="1F497D"/>
          <w:sz w:val="28"/>
          <w:szCs w:val="28"/>
        </w:rPr>
        <w:t>)(</w:t>
      </w:r>
      <w:proofErr w:type="gramEnd"/>
      <w:r>
        <w:rPr>
          <w:b/>
          <w:bCs/>
          <w:color w:val="1F497D"/>
          <w:sz w:val="28"/>
          <w:szCs w:val="28"/>
        </w:rPr>
        <w:t>i) of FTP, including exemption from payment of Terminal Excise Duty”</w:t>
      </w:r>
    </w:p>
    <w:p w:rsidR="00047C60" w:rsidRDefault="00047C60" w:rsidP="00047C60">
      <w:pPr>
        <w:pStyle w:val="ecxmsonormal"/>
        <w:shd w:val="clear" w:color="auto" w:fill="FFFFFF"/>
        <w:spacing w:before="0" w:beforeAutospacing="0" w:after="324" w:afterAutospacing="0" w:line="312" w:lineRule="atLeast"/>
        <w:rPr>
          <w:color w:val="444444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Thank you,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524000" cy="504825"/>
            <wp:effectExtent l="0" t="0" r="0" b="9525"/>
            <wp:docPr id="1" name="Picture 1" descr="Description: Description: Description: Description: Description: Description: Description: cid:image001.jpg@01CFAB1A.ADBDF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cid:image001.jpg@01CFAB1A.ADBDF3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Procurement Department</w:t>
      </w:r>
      <w:r>
        <w:rPr>
          <w:sz w:val="28"/>
          <w:szCs w:val="28"/>
        </w:rPr>
        <w:br/>
        <w:t>Focus Energy Limited</w:t>
      </w:r>
      <w:r>
        <w:rPr>
          <w:sz w:val="28"/>
          <w:szCs w:val="28"/>
        </w:rPr>
        <w:br/>
        <w:t>Tel: +91 124 4385527</w:t>
      </w:r>
      <w:r>
        <w:rPr>
          <w:color w:val="1F497D"/>
          <w:sz w:val="28"/>
          <w:szCs w:val="28"/>
        </w:rPr>
        <w:t>, 28</w:t>
      </w:r>
      <w:r>
        <w:rPr>
          <w:sz w:val="28"/>
          <w:szCs w:val="28"/>
        </w:rPr>
        <w:br/>
      </w:r>
      <w:hyperlink r:id="rId7" w:history="1">
        <w:r>
          <w:rPr>
            <w:rStyle w:val="Hyperlink"/>
            <w:sz w:val="28"/>
            <w:szCs w:val="28"/>
          </w:rPr>
          <w:t>www.focusenergy.co.in/tender</w:t>
        </w:r>
      </w:hyperlink>
    </w:p>
    <w:p w:rsidR="00047C60" w:rsidRDefault="00047C60" w:rsidP="00047C60">
      <w:pPr>
        <w:jc w:val="both"/>
      </w:pPr>
    </w:p>
    <w:sectPr w:rsidR="0004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0"/>
    <w:rsid w:val="000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0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47C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C60"/>
  </w:style>
  <w:style w:type="character" w:styleId="Hyperlink">
    <w:name w:val="Hyperlink"/>
    <w:basedOn w:val="DefaultParagraphFont"/>
    <w:uiPriority w:val="99"/>
    <w:semiHidden/>
    <w:unhideWhenUsed/>
    <w:rsid w:val="00047C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0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0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47C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C60"/>
  </w:style>
  <w:style w:type="character" w:styleId="Hyperlink">
    <w:name w:val="Hyperlink"/>
    <w:basedOn w:val="DefaultParagraphFont"/>
    <w:uiPriority w:val="99"/>
    <w:semiHidden/>
    <w:unhideWhenUsed/>
    <w:rsid w:val="00047C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6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cusenergy.co.in/tend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94F1.8B518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Focus</cp:lastModifiedBy>
  <cp:revision>1</cp:revision>
  <dcterms:created xsi:type="dcterms:W3CDTF">2016-04-13T08:43:00Z</dcterms:created>
  <dcterms:modified xsi:type="dcterms:W3CDTF">2016-04-13T08:44:00Z</dcterms:modified>
</cp:coreProperties>
</file>